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color w:val="000000"/>
        </w:rPr>
      </w:pPr>
      <w:bookmarkStart w:id="2" w:name="_GoBack"/>
      <w:bookmarkEnd w:id="2"/>
    </w:p>
    <w:p>
      <w:pPr>
        <w:spacing w:line="592" w:lineRule="exact"/>
        <w:rPr>
          <w:color w:val="000000"/>
        </w:rPr>
      </w:pPr>
    </w:p>
    <w:p>
      <w:pPr>
        <w:spacing w:line="592" w:lineRule="exact"/>
        <w:jc w:val="right"/>
        <w:rPr>
          <w:color w:val="000000"/>
        </w:rPr>
      </w:pPr>
      <w:r>
        <w:rPr>
          <w:rFonts w:hint="eastAsia"/>
          <w:color w:val="000000"/>
        </w:rPr>
        <w:t>合政办秘〔</w:t>
      </w:r>
      <w:r>
        <w:rPr>
          <w:color w:val="000000"/>
        </w:rPr>
        <w:t>202</w:t>
      </w:r>
      <w:r>
        <w:rPr>
          <w:rFonts w:hint="eastAsia"/>
          <w:color w:val="000000"/>
        </w:rPr>
        <w:t>2〕28号</w:t>
      </w:r>
    </w:p>
    <w:p>
      <w:pPr>
        <w:overflowPunct w:val="0"/>
        <w:spacing w:line="592" w:lineRule="exact"/>
        <w:ind w:firstLine="640" w:firstLineChars="200"/>
        <w:rPr>
          <w:color w:val="000000"/>
        </w:rPr>
      </w:pPr>
    </w:p>
    <w:p>
      <w:pPr>
        <w:overflowPunct w:val="0"/>
        <w:spacing w:line="592" w:lineRule="exact"/>
        <w:ind w:firstLine="640" w:firstLineChars="200"/>
        <w:rPr>
          <w:color w:val="000000"/>
        </w:rPr>
      </w:pPr>
    </w:p>
    <w:p>
      <w:pPr>
        <w:overflowPunct w:val="0"/>
        <w:spacing w:line="592" w:lineRule="exact"/>
        <w:jc w:val="center"/>
        <w:rPr>
          <w:rFonts w:eastAsia="方正小标宋简体"/>
          <w:color w:val="000000"/>
          <w:sz w:val="44"/>
          <w:szCs w:val="44"/>
        </w:rPr>
      </w:pPr>
      <w:bookmarkStart w:id="0" w:name="docTitle"/>
      <w:r>
        <w:rPr>
          <w:rFonts w:hint="eastAsia" w:eastAsia="方正小标宋简体"/>
          <w:color w:val="000000"/>
          <w:sz w:val="44"/>
          <w:szCs w:val="44"/>
        </w:rPr>
        <w:t>合肥市人民政府办公室关于印发合肥市加快</w:t>
      </w:r>
    </w:p>
    <w:p>
      <w:pPr>
        <w:overflowPunct w:val="0"/>
        <w:spacing w:line="592" w:lineRule="exact"/>
        <w:jc w:val="center"/>
        <w:rPr>
          <w:rFonts w:eastAsia="方正小标宋简体"/>
          <w:color w:val="000000"/>
          <w:sz w:val="44"/>
          <w:szCs w:val="44"/>
        </w:rPr>
      </w:pPr>
      <w:r>
        <w:rPr>
          <w:rFonts w:hint="eastAsia" w:eastAsia="方正小标宋简体"/>
          <w:color w:val="000000"/>
          <w:sz w:val="44"/>
          <w:szCs w:val="44"/>
        </w:rPr>
        <w:t>推进生物医药产业高质量发展若干政策的通知</w:t>
      </w:r>
      <w:bookmarkEnd w:id="0"/>
    </w:p>
    <w:p>
      <w:pPr>
        <w:overflowPunct w:val="0"/>
        <w:spacing w:line="592" w:lineRule="exact"/>
        <w:rPr>
          <w:rFonts w:eastAsia="宋体"/>
          <w:color w:val="000000"/>
          <w:sz w:val="21"/>
          <w:szCs w:val="24"/>
        </w:rPr>
      </w:pPr>
      <w:bookmarkStart w:id="1" w:name="content"/>
      <w:bookmarkEnd w:id="1"/>
    </w:p>
    <w:p>
      <w:pPr>
        <w:overflowPunct w:val="0"/>
        <w:spacing w:line="592" w:lineRule="exact"/>
        <w:rPr>
          <w:color w:val="000000"/>
          <w:szCs w:val="32"/>
        </w:rPr>
      </w:pPr>
      <w:r>
        <w:rPr>
          <w:rFonts w:hint="eastAsia"/>
          <w:color w:val="000000"/>
          <w:szCs w:val="32"/>
        </w:rPr>
        <w:t>各县（市）、区人民政府，市政府各部门、各直属机构：</w:t>
      </w:r>
    </w:p>
    <w:p>
      <w:pPr>
        <w:overflowPunct w:val="0"/>
        <w:spacing w:line="592" w:lineRule="exact"/>
        <w:ind w:firstLine="640" w:firstLineChars="200"/>
        <w:rPr>
          <w:color w:val="000000"/>
          <w:szCs w:val="32"/>
        </w:rPr>
      </w:pPr>
      <w:r>
        <w:rPr>
          <w:rFonts w:hint="eastAsia"/>
          <w:color w:val="000000"/>
          <w:szCs w:val="32"/>
        </w:rPr>
        <w:t>《合肥市加快推进生物医药产业高质量发展若干政策》已经市政府第8次常务会议审议通过，现印发给你们，请认真贯彻执行。</w:t>
      </w:r>
    </w:p>
    <w:p>
      <w:pPr>
        <w:overflowPunct w:val="0"/>
        <w:spacing w:line="592" w:lineRule="exact"/>
        <w:ind w:firstLine="640" w:firstLineChars="200"/>
        <w:rPr>
          <w:color w:val="000000"/>
          <w:szCs w:val="32"/>
        </w:rPr>
      </w:pPr>
    </w:p>
    <w:p>
      <w:pPr>
        <w:overflowPunct w:val="0"/>
        <w:spacing w:line="592" w:lineRule="exact"/>
        <w:ind w:firstLine="640" w:firstLineChars="200"/>
        <w:rPr>
          <w:color w:val="000000"/>
          <w:szCs w:val="32"/>
        </w:rPr>
      </w:pPr>
    </w:p>
    <w:p>
      <w:pPr>
        <w:overflowPunct w:val="0"/>
        <w:spacing w:line="592" w:lineRule="exact"/>
        <w:ind w:firstLine="640" w:firstLineChars="200"/>
        <w:rPr>
          <w:color w:val="000000"/>
          <w:szCs w:val="32"/>
        </w:rPr>
      </w:pPr>
    </w:p>
    <w:p>
      <w:pPr>
        <w:wordWrap w:val="0"/>
        <w:overflowPunct w:val="0"/>
        <w:spacing w:line="592" w:lineRule="exact"/>
        <w:ind w:firstLine="640" w:firstLineChars="200"/>
        <w:jc w:val="right"/>
        <w:rPr>
          <w:color w:val="000000"/>
          <w:szCs w:val="32"/>
        </w:rPr>
      </w:pPr>
      <w:r>
        <w:rPr>
          <w:rFonts w:hint="eastAsia"/>
          <w:color w:val="000000"/>
          <w:szCs w:val="32"/>
        </w:rPr>
        <w:t xml:space="preserve">2022年6月10日        </w:t>
      </w:r>
    </w:p>
    <w:p>
      <w:pPr>
        <w:overflowPunct w:val="0"/>
        <w:spacing w:line="592" w:lineRule="exact"/>
        <w:ind w:firstLine="640" w:firstLineChars="200"/>
        <w:rPr>
          <w:color w:val="000000"/>
          <w:szCs w:val="32"/>
        </w:rPr>
      </w:pPr>
    </w:p>
    <w:p>
      <w:pPr>
        <w:overflowPunct w:val="0"/>
        <w:spacing w:line="592" w:lineRule="exact"/>
        <w:rPr>
          <w:color w:val="000000"/>
          <w:szCs w:val="32"/>
        </w:rPr>
      </w:pPr>
      <w:r>
        <w:rPr>
          <w:color w:val="000000"/>
          <w:szCs w:val="32"/>
        </w:rPr>
        <w:br w:type="page"/>
      </w:r>
    </w:p>
    <w:p>
      <w:pPr>
        <w:overflowPunct w:val="0"/>
        <w:spacing w:line="592" w:lineRule="exact"/>
        <w:jc w:val="center"/>
        <w:rPr>
          <w:rFonts w:eastAsia="方正小标宋简体"/>
          <w:color w:val="000000"/>
          <w:kern w:val="0"/>
          <w:sz w:val="44"/>
          <w:szCs w:val="44"/>
        </w:rPr>
      </w:pPr>
      <w:r>
        <w:rPr>
          <w:rFonts w:eastAsia="方正小标宋简体"/>
          <w:color w:val="000000"/>
          <w:kern w:val="0"/>
          <w:sz w:val="44"/>
          <w:szCs w:val="44"/>
        </w:rPr>
        <w:t>合肥市加快推进生物医药产业</w:t>
      </w:r>
    </w:p>
    <w:p>
      <w:pPr>
        <w:overflowPunct w:val="0"/>
        <w:spacing w:line="592" w:lineRule="exact"/>
        <w:jc w:val="center"/>
        <w:rPr>
          <w:rFonts w:eastAsia="方正小标宋简体"/>
          <w:color w:val="000000"/>
          <w:kern w:val="0"/>
          <w:sz w:val="44"/>
          <w:szCs w:val="44"/>
        </w:rPr>
      </w:pPr>
      <w:r>
        <w:rPr>
          <w:rFonts w:eastAsia="方正小标宋简体"/>
          <w:color w:val="000000"/>
          <w:kern w:val="0"/>
          <w:sz w:val="44"/>
          <w:szCs w:val="44"/>
        </w:rPr>
        <w:t>高质量发展若干政策</w:t>
      </w:r>
    </w:p>
    <w:p>
      <w:pPr>
        <w:overflowPunct w:val="0"/>
        <w:spacing w:line="592" w:lineRule="exact"/>
        <w:ind w:firstLine="420" w:firstLineChars="200"/>
        <w:rPr>
          <w:rFonts w:eastAsia="宋体"/>
          <w:color w:val="000000"/>
          <w:sz w:val="21"/>
          <w:szCs w:val="22"/>
        </w:rPr>
      </w:pPr>
    </w:p>
    <w:p>
      <w:pPr>
        <w:overflowPunct w:val="0"/>
        <w:spacing w:line="592" w:lineRule="exact"/>
        <w:ind w:firstLine="640" w:firstLineChars="200"/>
        <w:rPr>
          <w:color w:val="000000"/>
          <w:kern w:val="0"/>
          <w:szCs w:val="32"/>
        </w:rPr>
      </w:pPr>
      <w:r>
        <w:rPr>
          <w:color w:val="000000"/>
          <w:kern w:val="0"/>
          <w:szCs w:val="32"/>
        </w:rPr>
        <w:t>为贯彻落实国家、省关于生物医药产业发展的决策部署，积蓄发展新动能，推动合肥生物医药产业高质量发展，力争将我市打造成生物医药产业核心枢纽和研发高地，特制定本政策。</w:t>
      </w:r>
    </w:p>
    <w:p>
      <w:pPr>
        <w:overflowPunct w:val="0"/>
        <w:spacing w:line="592" w:lineRule="exact"/>
        <w:ind w:firstLine="640" w:firstLineChars="200"/>
        <w:outlineLvl w:val="1"/>
        <w:rPr>
          <w:rFonts w:eastAsia="黑体"/>
          <w:color w:val="000000"/>
          <w:kern w:val="0"/>
          <w:szCs w:val="32"/>
        </w:rPr>
      </w:pPr>
      <w:r>
        <w:rPr>
          <w:rFonts w:eastAsia="黑体"/>
          <w:color w:val="000000"/>
          <w:kern w:val="0"/>
          <w:szCs w:val="32"/>
        </w:rPr>
        <w:t>一、支持产业研发创新</w:t>
      </w:r>
    </w:p>
    <w:p>
      <w:pPr>
        <w:overflowPunct w:val="0"/>
        <w:spacing w:line="592" w:lineRule="exact"/>
        <w:ind w:firstLine="640" w:firstLineChars="200"/>
        <w:rPr>
          <w:rFonts w:eastAsia="楷体_GB2312"/>
          <w:color w:val="000000"/>
          <w:kern w:val="0"/>
          <w:szCs w:val="32"/>
        </w:rPr>
      </w:pPr>
      <w:r>
        <w:rPr>
          <w:rFonts w:eastAsia="楷体_GB2312"/>
          <w:color w:val="000000"/>
          <w:kern w:val="0"/>
          <w:szCs w:val="32"/>
        </w:rPr>
        <w:t>1.提升创新策源能力。</w:t>
      </w:r>
      <w:r>
        <w:rPr>
          <w:color w:val="000000"/>
          <w:kern w:val="0"/>
          <w:szCs w:val="32"/>
        </w:rPr>
        <w:t>依托合肥综合性国家科学中心大健康研究院等国家级科研机构，围绕新靶标、新位点、新机制、新分子实体，加强前沿领域高水平基础研究，争取若干国家重大科技基础设施和生物安全实验室落地。聚焦生命科学、疾病防治等世界科技前沿领域，布局一批市级科技重大专项，鼓励科技创新骨干企业承担相关攻关任务。支持相关单位整合优势研究力量，建设若干具有重要影响力的创新研究机构。（</w:t>
      </w:r>
      <w:r>
        <w:rPr>
          <w:rFonts w:hint="eastAsia" w:eastAsia="楷体_GB2312"/>
          <w:color w:val="000000"/>
          <w:kern w:val="0"/>
          <w:szCs w:val="32"/>
        </w:rPr>
        <w:t>责任单位：市发改委、市科技局、市卫健委）</w:t>
      </w:r>
    </w:p>
    <w:p>
      <w:pPr>
        <w:overflowPunct w:val="0"/>
        <w:spacing w:line="592" w:lineRule="exact"/>
        <w:ind w:firstLine="640" w:firstLineChars="200"/>
        <w:rPr>
          <w:color w:val="000000"/>
          <w:kern w:val="0"/>
          <w:szCs w:val="32"/>
        </w:rPr>
      </w:pPr>
      <w:r>
        <w:rPr>
          <w:rFonts w:eastAsia="楷体_GB2312"/>
          <w:color w:val="000000"/>
          <w:kern w:val="0"/>
          <w:szCs w:val="32"/>
        </w:rPr>
        <w:t>2.支持新药研发。</w:t>
      </w:r>
      <w:r>
        <w:rPr>
          <w:color w:val="000000"/>
          <w:kern w:val="0"/>
          <w:szCs w:val="32"/>
        </w:rPr>
        <w:t>对开展临床试验并在我市转化的新药，包含化学药、生物制品、中药及天然药物，根据其研发进度进行分阶段奖补：</w:t>
      </w:r>
    </w:p>
    <w:p>
      <w:pPr>
        <w:overflowPunct w:val="0"/>
        <w:spacing w:line="592" w:lineRule="exact"/>
        <w:ind w:firstLine="640" w:firstLineChars="200"/>
        <w:rPr>
          <w:color w:val="000000"/>
          <w:kern w:val="0"/>
          <w:szCs w:val="32"/>
        </w:rPr>
      </w:pPr>
      <w:r>
        <w:rPr>
          <w:color w:val="000000"/>
          <w:kern w:val="0"/>
          <w:szCs w:val="32"/>
        </w:rPr>
        <w:t>对创新药（含获批紧急使用的药品），新进入</w:t>
      </w:r>
      <w:r>
        <w:rPr>
          <w:rFonts w:hint="eastAsia" w:hAnsi="宋体" w:eastAsia="宋体" w:cs="宋体"/>
          <w:color w:val="000000"/>
          <w:kern w:val="0"/>
          <w:szCs w:val="32"/>
        </w:rPr>
        <w:t>Ⅰ</w:t>
      </w:r>
      <w:r>
        <w:rPr>
          <w:color w:val="000000"/>
          <w:kern w:val="0"/>
          <w:szCs w:val="32"/>
        </w:rPr>
        <w:t>期、</w:t>
      </w:r>
      <w:r>
        <w:rPr>
          <w:rFonts w:hint="eastAsia" w:hAnsi="宋体" w:eastAsia="宋体" w:cs="宋体"/>
          <w:color w:val="000000"/>
          <w:kern w:val="0"/>
          <w:szCs w:val="32"/>
        </w:rPr>
        <w:t>Ⅱ</w:t>
      </w:r>
      <w:r>
        <w:rPr>
          <w:color w:val="000000"/>
          <w:kern w:val="0"/>
          <w:szCs w:val="32"/>
        </w:rPr>
        <w:t>期、</w:t>
      </w:r>
      <w:r>
        <w:rPr>
          <w:rFonts w:hint="eastAsia" w:hAnsi="宋体" w:eastAsia="宋体" w:cs="宋体"/>
          <w:color w:val="000000"/>
          <w:kern w:val="0"/>
          <w:szCs w:val="32"/>
        </w:rPr>
        <w:t>Ⅲ</w:t>
      </w:r>
      <w:r>
        <w:rPr>
          <w:color w:val="000000"/>
          <w:kern w:val="0"/>
          <w:szCs w:val="32"/>
        </w:rPr>
        <w:t>期临床试验的，按企业实际研发投入的40%分别给予最高500万元、1000万元、2000万元的补助，单个企业每年最高5000万元。</w:t>
      </w:r>
    </w:p>
    <w:p>
      <w:pPr>
        <w:overflowPunct w:val="0"/>
        <w:spacing w:line="592" w:lineRule="exact"/>
        <w:ind w:firstLine="640" w:firstLineChars="200"/>
        <w:rPr>
          <w:rFonts w:eastAsia="楷体_GB2312"/>
          <w:color w:val="000000"/>
          <w:kern w:val="0"/>
          <w:szCs w:val="32"/>
        </w:rPr>
      </w:pPr>
      <w:r>
        <w:rPr>
          <w:color w:val="000000"/>
          <w:kern w:val="0"/>
          <w:szCs w:val="32"/>
        </w:rPr>
        <w:t>对改良型新药，新进入</w:t>
      </w:r>
      <w:r>
        <w:rPr>
          <w:rFonts w:hint="eastAsia" w:hAnsi="宋体" w:eastAsia="宋体" w:cs="宋体"/>
          <w:color w:val="000000"/>
          <w:kern w:val="0"/>
          <w:szCs w:val="32"/>
        </w:rPr>
        <w:t>Ⅰ</w:t>
      </w:r>
      <w:r>
        <w:rPr>
          <w:color w:val="000000"/>
          <w:kern w:val="0"/>
          <w:szCs w:val="32"/>
        </w:rPr>
        <w:t>期、</w:t>
      </w:r>
      <w:r>
        <w:rPr>
          <w:rFonts w:hint="eastAsia" w:hAnsi="宋体" w:eastAsia="宋体" w:cs="宋体"/>
          <w:color w:val="000000"/>
          <w:kern w:val="0"/>
          <w:szCs w:val="32"/>
        </w:rPr>
        <w:t>Ⅱ</w:t>
      </w:r>
      <w:r>
        <w:rPr>
          <w:color w:val="000000"/>
          <w:kern w:val="0"/>
          <w:szCs w:val="32"/>
        </w:rPr>
        <w:t>期、</w:t>
      </w:r>
      <w:r>
        <w:rPr>
          <w:rFonts w:hint="eastAsia" w:hAnsi="宋体" w:eastAsia="宋体" w:cs="宋体"/>
          <w:color w:val="000000"/>
          <w:kern w:val="0"/>
          <w:szCs w:val="32"/>
        </w:rPr>
        <w:t>Ⅲ</w:t>
      </w:r>
      <w:r>
        <w:rPr>
          <w:color w:val="000000"/>
          <w:kern w:val="0"/>
          <w:szCs w:val="32"/>
        </w:rPr>
        <w:t>期临床试验的，按企业实际研发投入的40%分别给予最高400万元、800万元、1500万元的补助，单个企业每年最高3000万元。（</w:t>
      </w:r>
      <w:r>
        <w:rPr>
          <w:rFonts w:eastAsia="楷体_GB2312"/>
          <w:color w:val="000000"/>
          <w:kern w:val="0"/>
          <w:szCs w:val="32"/>
        </w:rPr>
        <w:t>责任单位：市经信局、市发改委、市市场监管局）</w:t>
      </w:r>
    </w:p>
    <w:p>
      <w:pPr>
        <w:overflowPunct w:val="0"/>
        <w:spacing w:line="592" w:lineRule="exact"/>
        <w:ind w:firstLine="640" w:firstLineChars="200"/>
        <w:rPr>
          <w:rFonts w:eastAsia="黑体"/>
          <w:color w:val="000000"/>
          <w:kern w:val="0"/>
          <w:szCs w:val="32"/>
        </w:rPr>
      </w:pPr>
      <w:r>
        <w:rPr>
          <w:rFonts w:eastAsia="黑体"/>
          <w:color w:val="000000"/>
          <w:kern w:val="0"/>
          <w:szCs w:val="32"/>
        </w:rPr>
        <w:t>二、加快创新成果转化</w:t>
      </w:r>
    </w:p>
    <w:p>
      <w:pPr>
        <w:overflowPunct w:val="0"/>
        <w:spacing w:line="592" w:lineRule="exact"/>
        <w:ind w:firstLine="640" w:firstLineChars="200"/>
        <w:rPr>
          <w:color w:val="000000"/>
          <w:kern w:val="0"/>
          <w:szCs w:val="32"/>
        </w:rPr>
      </w:pPr>
      <w:r>
        <w:rPr>
          <w:rFonts w:eastAsia="楷体_GB2312"/>
          <w:color w:val="000000"/>
          <w:kern w:val="0"/>
          <w:szCs w:val="32"/>
        </w:rPr>
        <w:t>3.鼓励药械就地转化。</w:t>
      </w:r>
      <w:r>
        <w:rPr>
          <w:color w:val="000000"/>
          <w:kern w:val="0"/>
          <w:szCs w:val="32"/>
        </w:rPr>
        <w:t>对新获注册批件并在我市投产的创新药（含获批紧急使用的药品）、改良型新药、化学仿制药、生物类似药、古代经典名方中药复方制剂</w:t>
      </w:r>
      <w:r>
        <w:rPr>
          <w:rFonts w:eastAsia="仿宋"/>
          <w:color w:val="000000"/>
          <w:szCs w:val="32"/>
        </w:rPr>
        <w:t>，</w:t>
      </w:r>
      <w:r>
        <w:rPr>
          <w:color w:val="000000"/>
          <w:kern w:val="0"/>
          <w:szCs w:val="32"/>
        </w:rPr>
        <w:t>按批件类别分别给予上市许可批件持有人最高1000万元、500万元、200万元、200万元、100万元的奖补。对在本市生产的已上市创新药、改良型新药进行再开发并新增适应症的，单个品种给予最高200万元奖补。单个企业每年最高3000万元。</w:t>
      </w:r>
    </w:p>
    <w:p>
      <w:pPr>
        <w:overflowPunct w:val="0"/>
        <w:spacing w:line="592" w:lineRule="exact"/>
        <w:ind w:firstLine="640" w:firstLineChars="200"/>
        <w:rPr>
          <w:color w:val="000000"/>
          <w:kern w:val="0"/>
          <w:szCs w:val="32"/>
        </w:rPr>
      </w:pPr>
      <w:r>
        <w:rPr>
          <w:color w:val="000000"/>
          <w:kern w:val="0"/>
          <w:szCs w:val="32"/>
        </w:rPr>
        <w:t>对新获注册证并在我市投产的第三类医疗器械、第二类医疗器械（限非零部件类医疗仪器设备及器械、国内首创器械、高值耗材），分别</w:t>
      </w:r>
      <w:r>
        <w:rPr>
          <w:rFonts w:hint="eastAsia"/>
          <w:color w:val="000000"/>
          <w:kern w:val="0"/>
          <w:szCs w:val="32"/>
        </w:rPr>
        <w:t>给予</w:t>
      </w:r>
      <w:r>
        <w:rPr>
          <w:color w:val="000000"/>
          <w:kern w:val="0"/>
          <w:szCs w:val="32"/>
        </w:rPr>
        <w:t>最高100万元、30万元的一次性奖补。单个企业每年最高1000万元。</w:t>
      </w:r>
    </w:p>
    <w:p>
      <w:pPr>
        <w:overflowPunct w:val="0"/>
        <w:spacing w:line="592" w:lineRule="exact"/>
        <w:ind w:firstLine="640" w:firstLineChars="200"/>
        <w:rPr>
          <w:color w:val="000000"/>
          <w:kern w:val="0"/>
          <w:szCs w:val="32"/>
        </w:rPr>
      </w:pPr>
      <w:r>
        <w:rPr>
          <w:color w:val="000000"/>
          <w:kern w:val="0"/>
          <w:szCs w:val="32"/>
        </w:rPr>
        <w:t>对通过仿制药质量和疗效一致性评价的固体制剂、注射剂，按品种分别给予最高500万元、100万元的奖补，在国内同品种前三家通过一致性评价的品种再给予最高100万元的奖励。单个企业每年最高1200万元。</w:t>
      </w:r>
    </w:p>
    <w:p>
      <w:pPr>
        <w:overflowPunct w:val="0"/>
        <w:spacing w:line="592" w:lineRule="exact"/>
        <w:ind w:firstLine="640" w:firstLineChars="200"/>
        <w:rPr>
          <w:rFonts w:eastAsia="楷体_GB2312"/>
          <w:color w:val="000000"/>
          <w:kern w:val="0"/>
          <w:szCs w:val="32"/>
        </w:rPr>
      </w:pPr>
      <w:r>
        <w:rPr>
          <w:color w:val="000000"/>
          <w:kern w:val="0"/>
          <w:szCs w:val="32"/>
        </w:rPr>
        <w:t>对首次取得登记号并在我市投产的原料药、辅料（状态标识为A），给予登记人最高20万元的奖补；对所关联制剂首次获得上市批准或首次关联已上市制剂品种通过关联审评审批</w:t>
      </w:r>
      <w:r>
        <w:rPr>
          <w:rFonts w:hint="eastAsia"/>
          <w:color w:val="000000"/>
          <w:kern w:val="0"/>
          <w:szCs w:val="32"/>
        </w:rPr>
        <w:t>的</w:t>
      </w:r>
      <w:r>
        <w:rPr>
          <w:color w:val="000000"/>
          <w:kern w:val="0"/>
          <w:szCs w:val="32"/>
        </w:rPr>
        <w:t>，给予登记人最高30万元的奖补。单个企业每年最高500万元。（</w:t>
      </w:r>
      <w:r>
        <w:rPr>
          <w:rFonts w:eastAsia="楷体_GB2312"/>
          <w:color w:val="000000"/>
          <w:kern w:val="0"/>
          <w:szCs w:val="32"/>
        </w:rPr>
        <w:t>责任单位：市经信局、市发改委、市市场监管局）</w:t>
      </w:r>
    </w:p>
    <w:p>
      <w:pPr>
        <w:overflowPunct w:val="0"/>
        <w:spacing w:line="592" w:lineRule="exact"/>
        <w:ind w:firstLine="640" w:firstLineChars="200"/>
        <w:rPr>
          <w:rFonts w:eastAsia="楷体_GB2312"/>
          <w:color w:val="000000"/>
          <w:kern w:val="0"/>
          <w:szCs w:val="32"/>
        </w:rPr>
      </w:pPr>
      <w:r>
        <w:rPr>
          <w:color w:val="000000"/>
          <w:kern w:val="0"/>
          <w:szCs w:val="32"/>
        </w:rPr>
        <w:t>4.</w:t>
      </w:r>
      <w:r>
        <w:rPr>
          <w:rFonts w:eastAsia="楷体_GB2312"/>
          <w:color w:val="000000"/>
          <w:kern w:val="0"/>
          <w:szCs w:val="32"/>
        </w:rPr>
        <w:t>鼓励委托生产。</w:t>
      </w:r>
      <w:r>
        <w:rPr>
          <w:color w:val="000000"/>
          <w:kern w:val="0"/>
          <w:szCs w:val="32"/>
        </w:rPr>
        <w:t>鼓励</w:t>
      </w:r>
      <w:r>
        <w:rPr>
          <w:rFonts w:hint="eastAsia"/>
          <w:color w:val="000000"/>
          <w:kern w:val="0"/>
          <w:szCs w:val="32"/>
        </w:rPr>
        <w:t>在肥</w:t>
      </w:r>
      <w:r>
        <w:rPr>
          <w:color w:val="000000"/>
          <w:kern w:val="0"/>
          <w:szCs w:val="32"/>
        </w:rPr>
        <w:t>企业对现有生产设施、工艺装备进行高端化、智能化、绿色化改造，持续提升药械质量管理能力和水平。对</w:t>
      </w:r>
      <w:r>
        <w:rPr>
          <w:rFonts w:hint="eastAsia"/>
          <w:color w:val="000000"/>
          <w:kern w:val="0"/>
          <w:szCs w:val="32"/>
        </w:rPr>
        <w:t>在肥</w:t>
      </w:r>
      <w:r>
        <w:rPr>
          <w:color w:val="000000"/>
          <w:kern w:val="0"/>
          <w:szCs w:val="32"/>
        </w:rPr>
        <w:t>企业承接外地药械委托生产（双方无投资关联关系）并在合肥结算销售的，每年分别给予委托方、被委托方合同执行额各5%的奖补。单个品种每年最高500万元，单个企业（机构）每年最高1000万元。（</w:t>
      </w:r>
      <w:r>
        <w:rPr>
          <w:rFonts w:eastAsia="楷体_GB2312"/>
          <w:color w:val="000000"/>
          <w:kern w:val="0"/>
          <w:szCs w:val="32"/>
        </w:rPr>
        <w:t>责任单位：市经信局、市发改委、市市场监管局）</w:t>
      </w:r>
    </w:p>
    <w:p>
      <w:pPr>
        <w:overflowPunct w:val="0"/>
        <w:spacing w:line="592" w:lineRule="exact"/>
        <w:ind w:firstLine="640" w:firstLineChars="200"/>
        <w:rPr>
          <w:rFonts w:eastAsia="黑体"/>
          <w:color w:val="000000"/>
          <w:kern w:val="0"/>
          <w:szCs w:val="32"/>
        </w:rPr>
      </w:pPr>
      <w:r>
        <w:rPr>
          <w:rFonts w:eastAsia="黑体"/>
          <w:color w:val="000000"/>
          <w:kern w:val="0"/>
          <w:szCs w:val="32"/>
        </w:rPr>
        <w:t>三、培育壮大市场主体</w:t>
      </w:r>
    </w:p>
    <w:p>
      <w:pPr>
        <w:overflowPunct w:val="0"/>
        <w:spacing w:line="592" w:lineRule="exact"/>
        <w:ind w:firstLine="640" w:firstLineChars="200"/>
        <w:rPr>
          <w:rFonts w:eastAsia="楷体_GB2312"/>
          <w:color w:val="000000"/>
          <w:kern w:val="0"/>
          <w:szCs w:val="32"/>
        </w:rPr>
      </w:pPr>
      <w:r>
        <w:rPr>
          <w:rFonts w:eastAsia="楷体_GB2312"/>
          <w:color w:val="000000"/>
          <w:kern w:val="0"/>
          <w:szCs w:val="32"/>
        </w:rPr>
        <w:t>5.支持企业规模发展。</w:t>
      </w:r>
      <w:r>
        <w:rPr>
          <w:color w:val="000000"/>
          <w:kern w:val="0"/>
          <w:szCs w:val="32"/>
        </w:rPr>
        <w:t>积极培育百亿企业，实施亿元企业、国家高新技术企业倍增计划，支持企业通过自主创新、收购并购等方式发展壮大。动态开展生物医药产业链重点企业认定工作，建立重点生物医药产业项目库，采取调度、通报</w:t>
      </w:r>
      <w:r>
        <w:rPr>
          <w:rFonts w:hint="eastAsia"/>
          <w:color w:val="000000"/>
          <w:kern w:val="0"/>
          <w:szCs w:val="32"/>
        </w:rPr>
        <w:t>、</w:t>
      </w:r>
      <w:r>
        <w:rPr>
          <w:color w:val="000000"/>
          <w:kern w:val="0"/>
          <w:szCs w:val="32"/>
        </w:rPr>
        <w:t>督导服务机制，加快推进重点项目建设。（</w:t>
      </w:r>
      <w:r>
        <w:rPr>
          <w:rFonts w:eastAsia="楷体_GB2312"/>
          <w:color w:val="000000"/>
          <w:kern w:val="0"/>
          <w:szCs w:val="32"/>
        </w:rPr>
        <w:t>责任单位：市经信局、市发改委、市科技局）</w:t>
      </w:r>
    </w:p>
    <w:p>
      <w:pPr>
        <w:overflowPunct w:val="0"/>
        <w:spacing w:line="592" w:lineRule="exact"/>
        <w:ind w:firstLine="640" w:firstLineChars="200"/>
        <w:rPr>
          <w:rFonts w:eastAsia="楷体_GB2312"/>
          <w:color w:val="000000"/>
          <w:kern w:val="0"/>
          <w:szCs w:val="32"/>
        </w:rPr>
      </w:pPr>
      <w:r>
        <w:rPr>
          <w:rFonts w:eastAsia="楷体_GB2312"/>
          <w:color w:val="000000"/>
          <w:kern w:val="0"/>
          <w:szCs w:val="32"/>
        </w:rPr>
        <w:t>6.支持创新产品推广应用。</w:t>
      </w:r>
      <w:r>
        <w:rPr>
          <w:color w:val="000000"/>
          <w:kern w:val="0"/>
          <w:szCs w:val="32"/>
        </w:rPr>
        <w:t>制定合肥市生物医药产业重点培育品种目录，支持目录内的药械参与公共资源交易。鼓励“三首”（装备首台套、材料首批次、软件首版次）应用示范，对经省级认定的高端医疗器械首台套及关键零部件，按产品单价（货值）的15%，分别给予研制单位、应用企业最高300万元奖励。对单品种年销售收入首次突破10亿元、5亿元、3亿元、1亿元的药品，首次突破5亿元、3亿元、1亿元、5000万元的医疗器械，分档给予企业最高100万元、80万元、50万元、30万元的奖励。鼓励在肥医疗机构开展现代医疗技术创新及临床应用。（</w:t>
      </w:r>
      <w:r>
        <w:rPr>
          <w:rFonts w:eastAsia="楷体_GB2312"/>
          <w:color w:val="000000"/>
          <w:kern w:val="0"/>
          <w:szCs w:val="32"/>
        </w:rPr>
        <w:t>责任单位：市经信局、市发改委、市公管局、市卫健委）</w:t>
      </w:r>
    </w:p>
    <w:p>
      <w:pPr>
        <w:overflowPunct w:val="0"/>
        <w:spacing w:line="592" w:lineRule="exact"/>
        <w:ind w:firstLine="640" w:firstLineChars="200"/>
        <w:rPr>
          <w:rFonts w:eastAsia="楷体_GB2312"/>
          <w:color w:val="000000"/>
          <w:kern w:val="0"/>
          <w:szCs w:val="32"/>
        </w:rPr>
      </w:pPr>
      <w:r>
        <w:rPr>
          <w:rFonts w:eastAsia="楷体_GB2312"/>
          <w:color w:val="000000"/>
          <w:kern w:val="0"/>
          <w:szCs w:val="32"/>
        </w:rPr>
        <w:t>7.支持企业开拓国际市场</w:t>
      </w:r>
      <w:r>
        <w:rPr>
          <w:color w:val="000000"/>
          <w:kern w:val="0"/>
          <w:szCs w:val="32"/>
        </w:rPr>
        <w:t>。对本市研发的药械新通过世界卫生组织（WHO）、美国食品药品监督管理局（FDA）、欧盟药品管理局（EMEA）或欧盟质量指导委员会（EDQM）、英国药品和保健品管理局（MHRA）、国际药品认证合作组织（PIC/S）注册、认证，并在相关国外市场实现销售的，按实际投入给予持有人每个品种最高100万元的奖补。单个企业每年最高500万元。</w:t>
      </w:r>
      <w:r>
        <w:rPr>
          <w:rFonts w:eastAsia="楷体_GB2312"/>
          <w:color w:val="000000"/>
          <w:kern w:val="0"/>
          <w:szCs w:val="32"/>
        </w:rPr>
        <w:t>（责任单位：市经信局）</w:t>
      </w:r>
    </w:p>
    <w:p>
      <w:pPr>
        <w:overflowPunct w:val="0"/>
        <w:spacing w:line="592" w:lineRule="exact"/>
        <w:ind w:firstLine="640" w:firstLineChars="200"/>
        <w:rPr>
          <w:rFonts w:eastAsia="黑体"/>
          <w:color w:val="000000"/>
          <w:kern w:val="0"/>
          <w:szCs w:val="32"/>
        </w:rPr>
      </w:pPr>
      <w:r>
        <w:rPr>
          <w:rFonts w:eastAsia="黑体"/>
          <w:color w:val="000000"/>
          <w:kern w:val="0"/>
          <w:szCs w:val="32"/>
        </w:rPr>
        <w:t>四、支持产业集聚发展</w:t>
      </w:r>
    </w:p>
    <w:p>
      <w:pPr>
        <w:overflowPunct w:val="0"/>
        <w:spacing w:line="592" w:lineRule="exact"/>
        <w:ind w:firstLine="640" w:firstLineChars="200"/>
        <w:rPr>
          <w:color w:val="000000"/>
          <w:kern w:val="0"/>
          <w:szCs w:val="32"/>
        </w:rPr>
      </w:pPr>
      <w:r>
        <w:rPr>
          <w:rFonts w:eastAsia="楷体_GB2312"/>
          <w:color w:val="000000"/>
          <w:kern w:val="0"/>
          <w:szCs w:val="32"/>
        </w:rPr>
        <w:t>8.鼓励打造特色产业园区。</w:t>
      </w:r>
      <w:r>
        <w:rPr>
          <w:color w:val="000000"/>
          <w:kern w:val="0"/>
          <w:szCs w:val="32"/>
        </w:rPr>
        <w:t>将生物医药产业用房、用地、用能优先纳入建设规划、能耗保障和用地需求，保障优质企业的发展空间。重点建设国家健康医疗大数据中部中心、省级生物医药和高端医疗器械产业基地、合肥综合性国家科学中心大健康研究院、国际生物医药港、长三角G60科创走廊产业合作示范区（生物医药）、省级化学原料药基地等重点集聚区，打造生物医药产业特色园区。鼓励园区建设满足生物医药研发和生产企业需求的标准化厂房。对新入园项目固定资产投资额1000万元以上的，按固定资产投资额的10%给予最高2000万元补贴。对存量企业升级改造投资额500万元以上的，按设备投资额的15%给予最高</w:t>
      </w:r>
      <w:r>
        <w:rPr>
          <w:color w:val="000000"/>
          <w:spacing w:val="-2"/>
          <w:kern w:val="0"/>
          <w:szCs w:val="32"/>
        </w:rPr>
        <w:t>2000万元补贴。对生物医药产业链引进龙头企业及关键配套企业，</w:t>
      </w:r>
      <w:r>
        <w:rPr>
          <w:color w:val="000000"/>
          <w:kern w:val="0"/>
          <w:szCs w:val="32"/>
        </w:rPr>
        <w:t>符合《合肥市招商引资大项目认定导则》相关认定标准的，可申请享受合肥市大项目支持。（</w:t>
      </w:r>
      <w:r>
        <w:rPr>
          <w:rFonts w:eastAsia="楷体_GB2312"/>
          <w:color w:val="000000"/>
          <w:kern w:val="0"/>
          <w:szCs w:val="32"/>
        </w:rPr>
        <w:t xml:space="preserve">责任单位：市发改委、市经信局、市投促局、市自规局、市生态环境局、市卫健委） </w:t>
      </w:r>
    </w:p>
    <w:p>
      <w:pPr>
        <w:overflowPunct w:val="0"/>
        <w:spacing w:line="592" w:lineRule="exact"/>
        <w:ind w:firstLine="640" w:firstLineChars="200"/>
        <w:rPr>
          <w:rFonts w:eastAsia="楷体_GB2312"/>
          <w:color w:val="000000"/>
          <w:kern w:val="0"/>
          <w:szCs w:val="32"/>
        </w:rPr>
      </w:pPr>
      <w:r>
        <w:rPr>
          <w:rFonts w:eastAsia="黑体"/>
          <w:color w:val="000000"/>
          <w:kern w:val="0"/>
          <w:szCs w:val="32"/>
        </w:rPr>
        <w:t>9.</w:t>
      </w:r>
      <w:r>
        <w:rPr>
          <w:rFonts w:eastAsia="楷体_GB2312"/>
          <w:color w:val="000000"/>
          <w:kern w:val="0"/>
          <w:szCs w:val="32"/>
        </w:rPr>
        <w:t>支持配套平台建设。</w:t>
      </w:r>
      <w:r>
        <w:rPr>
          <w:color w:val="000000"/>
          <w:szCs w:val="32"/>
        </w:rPr>
        <w:t>建立全市公共服务平台资源库，对产业集聚区、特色产业园区内建设的合同研发机构（CRO）、合同外包生产机构（CMO）、合同定制研发生产机构（CDMO）等产业应用基础平台，以及医疗大数据临床研究应用中心、检验检测中心、转化医学中心、临床医学研究中心、</w:t>
      </w:r>
      <w:r>
        <w:rPr>
          <w:color w:val="000000"/>
          <w:kern w:val="0"/>
          <w:szCs w:val="32"/>
        </w:rPr>
        <w:t>仿制药质量与疗效一致性评价技术与标准研究</w:t>
      </w:r>
      <w:r>
        <w:rPr>
          <w:color w:val="000000"/>
          <w:szCs w:val="32"/>
        </w:rPr>
        <w:t>等产业公共服务平台，固定资产投资500万元以上的，按投资额的30%给予最高500万元奖补。</w:t>
      </w:r>
      <w:r>
        <w:rPr>
          <w:rFonts w:hint="eastAsia"/>
          <w:color w:val="000000"/>
          <w:szCs w:val="32"/>
        </w:rPr>
        <w:t>对创新药和高端医疗器械研发平台、生物医药产业中试及生产平台等重大项目，给予“一事一议”单独支持。</w:t>
      </w:r>
      <w:r>
        <w:rPr>
          <w:color w:val="000000"/>
          <w:szCs w:val="32"/>
        </w:rPr>
        <w:t>建立药械注册指导服务工作站，对建设运营单位给予每年最高60万元的补助。对</w:t>
      </w:r>
      <w:r>
        <w:rPr>
          <w:color w:val="000000"/>
          <w:kern w:val="0"/>
          <w:szCs w:val="32"/>
        </w:rPr>
        <w:t>为我市企业</w:t>
      </w:r>
      <w:r>
        <w:rPr>
          <w:color w:val="000000"/>
          <w:szCs w:val="32"/>
        </w:rPr>
        <w:t>（双方无投资关联关系）</w:t>
      </w:r>
      <w:r>
        <w:rPr>
          <w:color w:val="000000"/>
          <w:kern w:val="0"/>
          <w:szCs w:val="32"/>
        </w:rPr>
        <w:t>提供服务的</w:t>
      </w:r>
      <w:r>
        <w:rPr>
          <w:color w:val="000000"/>
          <w:szCs w:val="32"/>
        </w:rPr>
        <w:t>公共平台，提供药械报批、产业培训、创业服务的</w:t>
      </w:r>
      <w:r>
        <w:rPr>
          <w:color w:val="000000"/>
          <w:kern w:val="0"/>
          <w:szCs w:val="32"/>
        </w:rPr>
        <w:t>联盟、协会、服务机构等，根据服务内容和效果，给予年度服务合同总额10%最高100万元的奖补。（</w:t>
      </w:r>
      <w:r>
        <w:rPr>
          <w:rFonts w:eastAsia="楷体_GB2312"/>
          <w:color w:val="000000"/>
          <w:kern w:val="0"/>
          <w:szCs w:val="32"/>
        </w:rPr>
        <w:t>责任单位：市发改委、市经信局、市卫健委、市投促局）</w:t>
      </w:r>
    </w:p>
    <w:p>
      <w:pPr>
        <w:overflowPunct w:val="0"/>
        <w:spacing w:line="592" w:lineRule="exact"/>
        <w:ind w:firstLine="640" w:firstLineChars="200"/>
        <w:rPr>
          <w:rFonts w:eastAsia="楷体_GB2312"/>
          <w:color w:val="000000"/>
          <w:kern w:val="0"/>
          <w:szCs w:val="32"/>
        </w:rPr>
      </w:pPr>
      <w:r>
        <w:rPr>
          <w:color w:val="000000"/>
          <w:kern w:val="0"/>
          <w:szCs w:val="32"/>
        </w:rPr>
        <w:t>对首次取得药物非临床研究质量管理规范（GLP）认证项目达到3大项、5大项的企业（机构），分别给予最高100万元、200万元</w:t>
      </w:r>
      <w:r>
        <w:rPr>
          <w:rFonts w:hint="eastAsia"/>
          <w:color w:val="000000"/>
          <w:kern w:val="0"/>
          <w:szCs w:val="32"/>
        </w:rPr>
        <w:t>的</w:t>
      </w:r>
      <w:r>
        <w:rPr>
          <w:color w:val="000000"/>
          <w:kern w:val="0"/>
          <w:szCs w:val="32"/>
        </w:rPr>
        <w:t>奖励，后期每新增1个试验项目给予最高50万元</w:t>
      </w:r>
      <w:r>
        <w:rPr>
          <w:rFonts w:hint="eastAsia"/>
          <w:color w:val="000000"/>
          <w:kern w:val="0"/>
          <w:szCs w:val="32"/>
        </w:rPr>
        <w:t>的</w:t>
      </w:r>
      <w:r>
        <w:rPr>
          <w:color w:val="000000"/>
          <w:kern w:val="0"/>
          <w:szCs w:val="32"/>
        </w:rPr>
        <w:t>奖补。对首次取得药物临床试验质量管理规范（GCP）认证的企业（机构），给予最高200万元的奖补，后期每新增1个专业学科给予最高50万元</w:t>
      </w:r>
      <w:r>
        <w:rPr>
          <w:rFonts w:hint="eastAsia"/>
          <w:color w:val="000000"/>
          <w:kern w:val="0"/>
          <w:szCs w:val="32"/>
        </w:rPr>
        <w:t>的</w:t>
      </w:r>
      <w:r>
        <w:rPr>
          <w:color w:val="000000"/>
          <w:kern w:val="0"/>
          <w:szCs w:val="32"/>
        </w:rPr>
        <w:t>奖补。单个企业（机构）累计奖补最高500万元。</w:t>
      </w:r>
      <w:r>
        <w:rPr>
          <w:rFonts w:eastAsia="楷体_GB2312"/>
          <w:color w:val="000000"/>
          <w:kern w:val="0"/>
          <w:szCs w:val="32"/>
        </w:rPr>
        <w:t>（责任单位：市经信局、市卫健委）</w:t>
      </w:r>
    </w:p>
    <w:p>
      <w:pPr>
        <w:overflowPunct w:val="0"/>
        <w:spacing w:line="592" w:lineRule="exact"/>
        <w:ind w:firstLine="640" w:firstLineChars="200"/>
        <w:rPr>
          <w:rFonts w:eastAsia="楷体_GB2312"/>
          <w:color w:val="000000"/>
          <w:kern w:val="0"/>
          <w:szCs w:val="32"/>
        </w:rPr>
      </w:pPr>
      <w:r>
        <w:rPr>
          <w:rFonts w:eastAsia="楷体_GB2312"/>
          <w:color w:val="000000"/>
          <w:kern w:val="0"/>
          <w:szCs w:val="32"/>
        </w:rPr>
        <w:t>10.优化发展环境。</w:t>
      </w:r>
      <w:r>
        <w:rPr>
          <w:color w:val="000000"/>
          <w:szCs w:val="32"/>
        </w:rPr>
        <w:t>结合国家区域医疗中心建设，推进医教研工协同创新。强化临床研究转化与医企协同，建立产医融合示范基地和医企对接工作机制。支持市内医疗机构开展临床研究及成果转化，鼓励优质院内制剂向新药转化。支持市内高校与医药企业开展合作，定向培养专业人才。鼓励龙头企业、高校、科研院所自建或联合共建产业创新创业孵化园，对绩效考核优秀的市级及以上科技企业孵化器、众创空间以及为中小企业提供生产销售等综合服务的各类园区，给予最高1</w:t>
      </w:r>
      <w:r>
        <w:rPr>
          <w:color w:val="000000"/>
          <w:kern w:val="0"/>
          <w:szCs w:val="32"/>
        </w:rPr>
        <w:t>00万元的奖补。</w:t>
      </w:r>
      <w:r>
        <w:rPr>
          <w:color w:val="000000"/>
          <w:szCs w:val="32"/>
        </w:rPr>
        <w:t>加大国内外生物医药基金引进力度。参股社会资本设立生物医药产业基金，支持引进医药产业项目。参股我市医药企业发起设立的基金，支持企业做大做强，引进配套企业。</w:t>
      </w:r>
      <w:r>
        <w:rPr>
          <w:color w:val="000000"/>
          <w:kern w:val="0"/>
          <w:szCs w:val="32"/>
        </w:rPr>
        <w:t>鼓励各类在肥保险机构提供生物医药人体临床试验责任保险、生物医药产品责任保险等定制化综合保险产品。（</w:t>
      </w:r>
      <w:r>
        <w:rPr>
          <w:rFonts w:eastAsia="楷体_GB2312"/>
          <w:color w:val="000000"/>
          <w:kern w:val="0"/>
          <w:szCs w:val="32"/>
        </w:rPr>
        <w:t xml:space="preserve">责任单位：市卫健委、市经信局、市发改委、市教育局、市科技局、市国资委、市财政局、市金融局、市人社局等） </w:t>
      </w:r>
    </w:p>
    <w:p>
      <w:pPr>
        <w:overflowPunct w:val="0"/>
        <w:spacing w:line="592" w:lineRule="exact"/>
        <w:ind w:firstLine="640" w:firstLineChars="200"/>
        <w:rPr>
          <w:color w:val="000000"/>
          <w:kern w:val="0"/>
          <w:szCs w:val="32"/>
        </w:rPr>
      </w:pPr>
      <w:r>
        <w:rPr>
          <w:color w:val="000000"/>
          <w:kern w:val="0"/>
          <w:szCs w:val="32"/>
        </w:rPr>
        <w:t>本政策适用于从事医药、医疗器械研发、生产和服务的企业及相关事业单位、社会团体或民办非企业等机构。单个企业（机构）每年获奖补最高2亿元。本政策按年度预算实行总量控制，与市其他政策按从高不重复原则执行，支持政策资金由市与县（市）区、开发区财政按1:1比例分担。</w:t>
      </w:r>
    </w:p>
    <w:p>
      <w:pPr>
        <w:overflowPunct w:val="0"/>
        <w:spacing w:line="592" w:lineRule="exact"/>
        <w:ind w:firstLine="640" w:firstLineChars="200"/>
        <w:rPr>
          <w:rFonts w:eastAsia="宋体"/>
          <w:color w:val="000000"/>
          <w:szCs w:val="32"/>
        </w:rPr>
      </w:pPr>
      <w:r>
        <w:rPr>
          <w:color w:val="000000"/>
          <w:kern w:val="0"/>
          <w:szCs w:val="32"/>
        </w:rPr>
        <w:t>本政策自发布之日起施行，有效期2年。由市经信局会同相关部门负责解释。执行期间如遇有关政策规定调整的，从其规定。</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503" w:bottom="1758" w:left="1503" w:header="851" w:footer="1361" w:gutter="0"/>
      <w:cols w:space="425" w:num="1"/>
      <w:titlePg/>
      <w:docGrid w:type="lines" w:linePitch="59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spacing w:line="60" w:lineRule="exact"/>
      <w:jc w:val="right"/>
      <w:rPr>
        <w:rFonts w:ascii="宋体" w:hAnsi="宋体" w:eastAsia="宋体"/>
        <w:kern w:val="0"/>
        <w:sz w:val="28"/>
        <w:szCs w:val="28"/>
      </w:rPr>
    </w:pPr>
  </w:p>
  <w:p>
    <w:pPr>
      <w:pStyle w:val="7"/>
      <w:wordWrap w:val="0"/>
      <w:jc w:val="right"/>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7</w:t>
    </w:r>
    <w:r>
      <w:rPr>
        <w:rFonts w:ascii="宋体" w:hAnsi="宋体" w:eastAsia="宋体"/>
        <w:kern w:val="0"/>
        <w:sz w:val="28"/>
        <w:szCs w:val="28"/>
      </w:rPr>
      <w:fldChar w:fldCharType="end"/>
    </w:r>
    <w:r>
      <w:rPr>
        <w:rFonts w:hint="eastAsia" w:ascii="宋体" w:hAnsi="宋体" w:eastAsia="宋体"/>
        <w:kern w:val="0"/>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60" w:lineRule="exact"/>
      <w:ind w:firstLine="280" w:firstLineChars="100"/>
      <w:jc w:val="both"/>
      <w:rPr>
        <w:rFonts w:ascii="宋体" w:hAnsi="宋体" w:eastAsia="宋体"/>
        <w:kern w:val="0"/>
        <w:sz w:val="28"/>
        <w:szCs w:val="28"/>
      </w:rPr>
    </w:pPr>
  </w:p>
  <w:p>
    <w:pPr>
      <w:pStyle w:val="7"/>
      <w:ind w:firstLine="280" w:firstLineChars="100"/>
      <w:jc w:val="both"/>
      <w:rPr>
        <w:rFonts w:ascii="宋体" w:hAnsi="宋体" w:eastAsia="宋体"/>
        <w:sz w:val="28"/>
        <w:szCs w:val="28"/>
      </w:rPr>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6</w:t>
    </w:r>
    <w:r>
      <w:rPr>
        <w:rFonts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287"/>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Q3Y2QzZTgxODljODdkZWFlOTNkOWVkOTk1NTRhN2IifQ=="/>
  </w:docVars>
  <w:rsids>
    <w:rsidRoot w:val="00A97A74"/>
    <w:rsid w:val="00000FB3"/>
    <w:rsid w:val="00010441"/>
    <w:rsid w:val="00015507"/>
    <w:rsid w:val="00032A2F"/>
    <w:rsid w:val="00061BD7"/>
    <w:rsid w:val="0006324C"/>
    <w:rsid w:val="00066CA5"/>
    <w:rsid w:val="00090E25"/>
    <w:rsid w:val="000961C6"/>
    <w:rsid w:val="0009775E"/>
    <w:rsid w:val="000A3008"/>
    <w:rsid w:val="000A5658"/>
    <w:rsid w:val="000C4116"/>
    <w:rsid w:val="000E0452"/>
    <w:rsid w:val="00102E7C"/>
    <w:rsid w:val="00117061"/>
    <w:rsid w:val="00117782"/>
    <w:rsid w:val="00136C20"/>
    <w:rsid w:val="00151F4F"/>
    <w:rsid w:val="001541C1"/>
    <w:rsid w:val="0016086A"/>
    <w:rsid w:val="00175A21"/>
    <w:rsid w:val="00186B9D"/>
    <w:rsid w:val="00191F2B"/>
    <w:rsid w:val="001A05BC"/>
    <w:rsid w:val="001A32F5"/>
    <w:rsid w:val="001C1167"/>
    <w:rsid w:val="001C3F3B"/>
    <w:rsid w:val="001C50D7"/>
    <w:rsid w:val="001D35FE"/>
    <w:rsid w:val="001E1F60"/>
    <w:rsid w:val="001E551F"/>
    <w:rsid w:val="001F194F"/>
    <w:rsid w:val="001F2408"/>
    <w:rsid w:val="001F2CAF"/>
    <w:rsid w:val="00200A1F"/>
    <w:rsid w:val="00225754"/>
    <w:rsid w:val="00232800"/>
    <w:rsid w:val="00236049"/>
    <w:rsid w:val="00242632"/>
    <w:rsid w:val="00246203"/>
    <w:rsid w:val="00261516"/>
    <w:rsid w:val="0026578B"/>
    <w:rsid w:val="0026615B"/>
    <w:rsid w:val="0028049C"/>
    <w:rsid w:val="002926F4"/>
    <w:rsid w:val="00297EAA"/>
    <w:rsid w:val="002A1E32"/>
    <w:rsid w:val="002A2F41"/>
    <w:rsid w:val="002D5CA0"/>
    <w:rsid w:val="002E4659"/>
    <w:rsid w:val="002E5E89"/>
    <w:rsid w:val="002F634E"/>
    <w:rsid w:val="0031010E"/>
    <w:rsid w:val="003140A0"/>
    <w:rsid w:val="00321FB1"/>
    <w:rsid w:val="0032317E"/>
    <w:rsid w:val="003324F2"/>
    <w:rsid w:val="00335EF8"/>
    <w:rsid w:val="00336EA1"/>
    <w:rsid w:val="00342964"/>
    <w:rsid w:val="003462CC"/>
    <w:rsid w:val="003653C3"/>
    <w:rsid w:val="0037756A"/>
    <w:rsid w:val="00383A23"/>
    <w:rsid w:val="00384F08"/>
    <w:rsid w:val="00385441"/>
    <w:rsid w:val="00385943"/>
    <w:rsid w:val="003A6012"/>
    <w:rsid w:val="003A76B4"/>
    <w:rsid w:val="003B6080"/>
    <w:rsid w:val="003C5542"/>
    <w:rsid w:val="003D3363"/>
    <w:rsid w:val="003D5685"/>
    <w:rsid w:val="003E0686"/>
    <w:rsid w:val="003F4D67"/>
    <w:rsid w:val="00401C1D"/>
    <w:rsid w:val="00412E0C"/>
    <w:rsid w:val="00421DF0"/>
    <w:rsid w:val="0042639F"/>
    <w:rsid w:val="004270F5"/>
    <w:rsid w:val="00435E1F"/>
    <w:rsid w:val="004425CF"/>
    <w:rsid w:val="0044705C"/>
    <w:rsid w:val="00455AD6"/>
    <w:rsid w:val="00466223"/>
    <w:rsid w:val="004704AF"/>
    <w:rsid w:val="00480499"/>
    <w:rsid w:val="004874B4"/>
    <w:rsid w:val="00494560"/>
    <w:rsid w:val="00496753"/>
    <w:rsid w:val="004A5080"/>
    <w:rsid w:val="004A56E7"/>
    <w:rsid w:val="004B7510"/>
    <w:rsid w:val="004C2132"/>
    <w:rsid w:val="004C74F0"/>
    <w:rsid w:val="004D70D1"/>
    <w:rsid w:val="004D7EEC"/>
    <w:rsid w:val="004E2143"/>
    <w:rsid w:val="004E6E53"/>
    <w:rsid w:val="004F0664"/>
    <w:rsid w:val="004F31BD"/>
    <w:rsid w:val="004F604F"/>
    <w:rsid w:val="00502487"/>
    <w:rsid w:val="00507B00"/>
    <w:rsid w:val="00507FF6"/>
    <w:rsid w:val="00512DC4"/>
    <w:rsid w:val="00516A84"/>
    <w:rsid w:val="005349D7"/>
    <w:rsid w:val="005648C9"/>
    <w:rsid w:val="00574732"/>
    <w:rsid w:val="005B4166"/>
    <w:rsid w:val="005D3D1A"/>
    <w:rsid w:val="005D41D6"/>
    <w:rsid w:val="005E3570"/>
    <w:rsid w:val="005F05F3"/>
    <w:rsid w:val="00606827"/>
    <w:rsid w:val="0062120C"/>
    <w:rsid w:val="00634EBC"/>
    <w:rsid w:val="00647C2B"/>
    <w:rsid w:val="006E04B3"/>
    <w:rsid w:val="006E731A"/>
    <w:rsid w:val="006F0469"/>
    <w:rsid w:val="006F56BB"/>
    <w:rsid w:val="006F71D7"/>
    <w:rsid w:val="0072021D"/>
    <w:rsid w:val="007304E4"/>
    <w:rsid w:val="00732F9D"/>
    <w:rsid w:val="00733F80"/>
    <w:rsid w:val="007575FD"/>
    <w:rsid w:val="00766F4C"/>
    <w:rsid w:val="007A52AD"/>
    <w:rsid w:val="007C3046"/>
    <w:rsid w:val="007C4AFF"/>
    <w:rsid w:val="007D7DEF"/>
    <w:rsid w:val="007E1F26"/>
    <w:rsid w:val="007E37D7"/>
    <w:rsid w:val="007E3CD4"/>
    <w:rsid w:val="007F0EEF"/>
    <w:rsid w:val="007F1886"/>
    <w:rsid w:val="00807AC8"/>
    <w:rsid w:val="00812F7B"/>
    <w:rsid w:val="00846A4F"/>
    <w:rsid w:val="0085036E"/>
    <w:rsid w:val="008517F0"/>
    <w:rsid w:val="0086086B"/>
    <w:rsid w:val="00860D3E"/>
    <w:rsid w:val="00861FF3"/>
    <w:rsid w:val="00877D15"/>
    <w:rsid w:val="008870AA"/>
    <w:rsid w:val="008B0B99"/>
    <w:rsid w:val="008D10E1"/>
    <w:rsid w:val="008D1B03"/>
    <w:rsid w:val="008E062D"/>
    <w:rsid w:val="008E10DF"/>
    <w:rsid w:val="008F56E2"/>
    <w:rsid w:val="009157E9"/>
    <w:rsid w:val="00925289"/>
    <w:rsid w:val="00932649"/>
    <w:rsid w:val="00933054"/>
    <w:rsid w:val="009414D7"/>
    <w:rsid w:val="00965916"/>
    <w:rsid w:val="00985F7F"/>
    <w:rsid w:val="0099536A"/>
    <w:rsid w:val="009B250B"/>
    <w:rsid w:val="009C5408"/>
    <w:rsid w:val="009E48DF"/>
    <w:rsid w:val="009E49BF"/>
    <w:rsid w:val="009E5560"/>
    <w:rsid w:val="009F3254"/>
    <w:rsid w:val="00A0281A"/>
    <w:rsid w:val="00A14CDF"/>
    <w:rsid w:val="00A15D08"/>
    <w:rsid w:val="00A1609B"/>
    <w:rsid w:val="00A16150"/>
    <w:rsid w:val="00A36F13"/>
    <w:rsid w:val="00A44185"/>
    <w:rsid w:val="00A50335"/>
    <w:rsid w:val="00A57CB5"/>
    <w:rsid w:val="00A653F3"/>
    <w:rsid w:val="00A71165"/>
    <w:rsid w:val="00A745A5"/>
    <w:rsid w:val="00A76060"/>
    <w:rsid w:val="00A8151B"/>
    <w:rsid w:val="00A84CA8"/>
    <w:rsid w:val="00A952B8"/>
    <w:rsid w:val="00A97A74"/>
    <w:rsid w:val="00AA3F1B"/>
    <w:rsid w:val="00AB3C01"/>
    <w:rsid w:val="00AC00FD"/>
    <w:rsid w:val="00AE45D8"/>
    <w:rsid w:val="00B00778"/>
    <w:rsid w:val="00B064F5"/>
    <w:rsid w:val="00B30C6C"/>
    <w:rsid w:val="00B354C3"/>
    <w:rsid w:val="00B36750"/>
    <w:rsid w:val="00B439C7"/>
    <w:rsid w:val="00B44FEC"/>
    <w:rsid w:val="00B512E0"/>
    <w:rsid w:val="00B8161B"/>
    <w:rsid w:val="00B94643"/>
    <w:rsid w:val="00BB0E77"/>
    <w:rsid w:val="00BB223A"/>
    <w:rsid w:val="00BB62D6"/>
    <w:rsid w:val="00BC19DF"/>
    <w:rsid w:val="00BC4525"/>
    <w:rsid w:val="00BE395F"/>
    <w:rsid w:val="00BE7FD9"/>
    <w:rsid w:val="00C039D1"/>
    <w:rsid w:val="00C126A6"/>
    <w:rsid w:val="00C12A17"/>
    <w:rsid w:val="00C1552E"/>
    <w:rsid w:val="00C2181D"/>
    <w:rsid w:val="00C258F2"/>
    <w:rsid w:val="00C4126B"/>
    <w:rsid w:val="00C42307"/>
    <w:rsid w:val="00C47B8C"/>
    <w:rsid w:val="00C506C8"/>
    <w:rsid w:val="00C60766"/>
    <w:rsid w:val="00C633FB"/>
    <w:rsid w:val="00CA39A5"/>
    <w:rsid w:val="00CA57B2"/>
    <w:rsid w:val="00CB026D"/>
    <w:rsid w:val="00CC5767"/>
    <w:rsid w:val="00CE6D8A"/>
    <w:rsid w:val="00D217FB"/>
    <w:rsid w:val="00D34DEF"/>
    <w:rsid w:val="00D351E3"/>
    <w:rsid w:val="00D47B16"/>
    <w:rsid w:val="00D47EEB"/>
    <w:rsid w:val="00D54F77"/>
    <w:rsid w:val="00D63FD4"/>
    <w:rsid w:val="00D8202D"/>
    <w:rsid w:val="00D82305"/>
    <w:rsid w:val="00D92A31"/>
    <w:rsid w:val="00D97824"/>
    <w:rsid w:val="00DC4846"/>
    <w:rsid w:val="00DD12BC"/>
    <w:rsid w:val="00DE14FC"/>
    <w:rsid w:val="00DE6DE8"/>
    <w:rsid w:val="00DF66F6"/>
    <w:rsid w:val="00E061A5"/>
    <w:rsid w:val="00E16045"/>
    <w:rsid w:val="00E16FDC"/>
    <w:rsid w:val="00E3016D"/>
    <w:rsid w:val="00E33015"/>
    <w:rsid w:val="00E37C10"/>
    <w:rsid w:val="00E432B9"/>
    <w:rsid w:val="00E43647"/>
    <w:rsid w:val="00E449EC"/>
    <w:rsid w:val="00E603BA"/>
    <w:rsid w:val="00EA0DC5"/>
    <w:rsid w:val="00EB6AD6"/>
    <w:rsid w:val="00ED74C3"/>
    <w:rsid w:val="00ED77B9"/>
    <w:rsid w:val="00F0426C"/>
    <w:rsid w:val="00F25EA0"/>
    <w:rsid w:val="00F441A5"/>
    <w:rsid w:val="00F45428"/>
    <w:rsid w:val="00F46602"/>
    <w:rsid w:val="00F570CA"/>
    <w:rsid w:val="00F67E55"/>
    <w:rsid w:val="00F911FA"/>
    <w:rsid w:val="00F91EF2"/>
    <w:rsid w:val="00F933C2"/>
    <w:rsid w:val="00FA1AE2"/>
    <w:rsid w:val="00FA2F90"/>
    <w:rsid w:val="00FA4ACE"/>
    <w:rsid w:val="00FB4007"/>
    <w:rsid w:val="00FB5D03"/>
    <w:rsid w:val="00FC39F5"/>
    <w:rsid w:val="00FD7422"/>
    <w:rsid w:val="00FD74ED"/>
    <w:rsid w:val="00FE3F82"/>
    <w:rsid w:val="00FE5FC3"/>
    <w:rsid w:val="06EE02F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jc w:val="center"/>
      <w:outlineLvl w:val="0"/>
    </w:pPr>
    <w:rPr>
      <w:rFonts w:ascii="宋体"/>
      <w:sz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center"/>
    </w:pPr>
    <w:rPr>
      <w:b/>
      <w:bCs/>
      <w:sz w:val="44"/>
    </w:rPr>
  </w:style>
  <w:style w:type="paragraph" w:styleId="4">
    <w:name w:val="Body Text Indent"/>
    <w:basedOn w:val="1"/>
    <w:uiPriority w:val="0"/>
    <w:pPr>
      <w:ind w:firstLine="645"/>
    </w:pPr>
  </w:style>
  <w:style w:type="paragraph" w:styleId="5">
    <w:name w:val="Date"/>
    <w:basedOn w:val="1"/>
    <w:next w:val="1"/>
    <w:uiPriority w:val="0"/>
  </w:style>
  <w:style w:type="paragraph" w:styleId="6">
    <w:name w:val="Balloon Text"/>
    <w:basedOn w:val="1"/>
    <w:semiHidden/>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bCs/>
    </w:rPr>
  </w:style>
  <w:style w:type="character" w:styleId="13">
    <w:name w:val="page number"/>
    <w:basedOn w:val="11"/>
    <w:uiPriority w:val="99"/>
  </w:style>
  <w:style w:type="character" w:customStyle="1" w:styleId="14">
    <w:name w:val="grame"/>
    <w:basedOn w:val="11"/>
    <w:uiPriority w:val="0"/>
  </w:style>
  <w:style w:type="paragraph" w:customStyle="1" w:styleId="15">
    <w:name w:val="Char"/>
    <w:basedOn w:val="1"/>
    <w:uiPriority w:val="0"/>
    <w:pPr>
      <w:tabs>
        <w:tab w:val="left" w:pos="360"/>
      </w:tabs>
      <w:ind w:left="360" w:hanging="360" w:hangingChars="200"/>
    </w:pPr>
    <w:rPr>
      <w:rFonts w:eastAsia="宋体"/>
      <w:sz w:val="24"/>
      <w:szCs w:val="24"/>
    </w:rPr>
  </w:style>
  <w:style w:type="paragraph" w:customStyle="1" w:styleId="16">
    <w:name w:val="Default Paragraph Char Char Char Char"/>
    <w:basedOn w:val="1"/>
    <w:next w:val="1"/>
    <w:uiPriority w:val="0"/>
    <w:pPr>
      <w:widowControl/>
      <w:spacing w:line="360" w:lineRule="auto"/>
      <w:jc w:val="left"/>
    </w:pPr>
    <w:rPr>
      <w:rFonts w:eastAsia="宋体"/>
      <w:kern w:val="0"/>
      <w:sz w:val="21"/>
      <w:lang w:eastAsia="en-US"/>
    </w:rPr>
  </w:style>
  <w:style w:type="paragraph" w:customStyle="1" w:styleId="17">
    <w:name w:val="Char1"/>
    <w:basedOn w:val="1"/>
    <w:uiPriority w:val="0"/>
    <w:pPr>
      <w:spacing w:line="360" w:lineRule="auto"/>
    </w:pPr>
    <w:rPr>
      <w:rFonts w:ascii="仿宋_GB2312"/>
      <w:b/>
      <w:sz w:val="21"/>
      <w:szCs w:val="32"/>
    </w:rPr>
  </w:style>
  <w:style w:type="paragraph" w:customStyle="1" w:styleId="18">
    <w:name w:val="Char Char1 Char"/>
    <w:basedOn w:val="1"/>
    <w:uiPriority w:val="0"/>
    <w:rPr>
      <w:rFonts w:eastAsia="宋体"/>
      <w:szCs w:val="32"/>
    </w:rPr>
  </w:style>
  <w:style w:type="character" w:customStyle="1" w:styleId="19">
    <w:name w:val="页脚 Char"/>
    <w:basedOn w:val="11"/>
    <w:link w:val="7"/>
    <w:uiPriority w:val="0"/>
    <w:rPr>
      <w:rFonts w:eastAsia="仿宋_GB2312"/>
      <w:kern w:val="2"/>
      <w:sz w:val="18"/>
      <w:szCs w:val="18"/>
    </w:rPr>
  </w:style>
  <w:style w:type="character" w:customStyle="1" w:styleId="20">
    <w:name w:val="页眉 Char"/>
    <w:basedOn w:val="11"/>
    <w:link w:val="8"/>
    <w:uiPriority w:val="0"/>
    <w:rPr>
      <w:rFonts w:eastAsia="仿宋_GB2312"/>
      <w:kern w:val="2"/>
      <w:sz w:val="18"/>
      <w:szCs w:val="18"/>
    </w:rPr>
  </w:style>
  <w:style w:type="paragraph" w:customStyle="1" w:styleId="21">
    <w:name w:val="正文_0"/>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3443</Words>
  <Characters>3615</Characters>
  <Lines>26</Lines>
  <Paragraphs>7</Paragraphs>
  <TotalTime>4</TotalTime>
  <ScaleCrop>false</ScaleCrop>
  <LinksUpToDate>false</LinksUpToDate>
  <CharactersWithSpaces>3625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2022-06-14T04:41:00Z</dcterms:created>
  <dc:creator>张春凤</dc:creator>
  <cp:lastModifiedBy>Administrator</cp:lastModifiedBy>
  <cp:lastPrinted>2021-03-12T02:25:00Z</cp:lastPrinted>
  <dcterms:modified xsi:type="dcterms:W3CDTF">2022-06-15T09:15:28Z</dcterms:modified>
  <dc:title>word文档</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F3466E5AD0DE40BCB7A62DDB307CD8AC</vt:lpwstr>
  </property>
</Properties>
</file>